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32" w:rsidRDefault="009F3332" w:rsidP="009F3332">
      <w:pPr>
        <w:spacing w:after="0" w:line="240" w:lineRule="auto"/>
        <w:jc w:val="center"/>
        <w:rPr>
          <w:rFonts w:ascii="Century Gothic" w:hAnsi="Century Gothic"/>
        </w:rPr>
      </w:pPr>
      <w:r>
        <w:rPr>
          <w:rFonts w:ascii="Century Gothic" w:hAnsi="Century Gothic"/>
        </w:rPr>
        <w:t>Scholarship Committee, Doctor of Pharmacy Program</w:t>
      </w:r>
    </w:p>
    <w:p w:rsidR="009F3332" w:rsidRDefault="009F3332" w:rsidP="009F3332">
      <w:pPr>
        <w:spacing w:after="0" w:line="240" w:lineRule="auto"/>
        <w:jc w:val="center"/>
        <w:rPr>
          <w:rFonts w:ascii="Century Gothic" w:hAnsi="Century Gothic"/>
        </w:rPr>
      </w:pPr>
      <w:r>
        <w:rPr>
          <w:rFonts w:ascii="Century Gothic" w:hAnsi="Century Gothic"/>
        </w:rPr>
        <w:t>Charges and Guidance Document</w:t>
      </w:r>
    </w:p>
    <w:p w:rsidR="009F3332" w:rsidRDefault="009F3332" w:rsidP="009F3332">
      <w:pPr>
        <w:spacing w:after="0" w:line="240" w:lineRule="auto"/>
        <w:jc w:val="center"/>
        <w:rPr>
          <w:rFonts w:ascii="Century Gothic" w:hAnsi="Century Gothic"/>
        </w:rPr>
      </w:pPr>
      <w:r>
        <w:rPr>
          <w:rFonts w:ascii="Century Gothic" w:hAnsi="Century Gothic"/>
        </w:rPr>
        <w:t xml:space="preserve">University of </w:t>
      </w:r>
      <w:smartTag w:uri="urn:schemas-microsoft-com:office:smarttags" w:element="place">
        <w:smartTag w:uri="urn:schemas-microsoft-com:office:smarttags" w:element="PlaceName">
          <w:r>
            <w:rPr>
              <w:rFonts w:ascii="Century Gothic" w:hAnsi="Century Gothic"/>
            </w:rPr>
            <w:t>Pittsburgh</w:t>
          </w:r>
        </w:smartTag>
        <w:r>
          <w:rPr>
            <w:rFonts w:ascii="Century Gothic" w:hAnsi="Century Gothic"/>
          </w:rPr>
          <w:t xml:space="preserve"> </w:t>
        </w:r>
        <w:smartTag w:uri="urn:schemas-microsoft-com:office:smarttags" w:element="PlaceType">
          <w:r>
            <w:rPr>
              <w:rFonts w:ascii="Century Gothic" w:hAnsi="Century Gothic"/>
            </w:rPr>
            <w:t>School</w:t>
          </w:r>
        </w:smartTag>
      </w:smartTag>
      <w:r>
        <w:rPr>
          <w:rFonts w:ascii="Century Gothic" w:hAnsi="Century Gothic"/>
        </w:rPr>
        <w:t xml:space="preserve"> of Pharmacy </w:t>
      </w:r>
    </w:p>
    <w:p w:rsidR="009F3332" w:rsidRDefault="009F3332" w:rsidP="009F3332"/>
    <w:p w:rsidR="009F3332" w:rsidRPr="00EB46C3" w:rsidRDefault="009F3332" w:rsidP="009F3332">
      <w:pPr>
        <w:spacing w:after="0" w:line="240" w:lineRule="auto"/>
        <w:rPr>
          <w:b/>
          <w:smallCaps/>
          <w:sz w:val="23"/>
          <w:szCs w:val="23"/>
          <w:u w:val="single"/>
        </w:rPr>
      </w:pPr>
      <w:r w:rsidRPr="00EB46C3">
        <w:rPr>
          <w:b/>
          <w:smallCaps/>
          <w:sz w:val="23"/>
          <w:szCs w:val="23"/>
          <w:u w:val="single"/>
        </w:rPr>
        <w:t>Charge to the Committee</w:t>
      </w:r>
    </w:p>
    <w:p w:rsidR="004362DC" w:rsidRPr="009F3332" w:rsidRDefault="009B0CB2" w:rsidP="009F3332">
      <w:pPr>
        <w:spacing w:after="0" w:line="240" w:lineRule="auto"/>
        <w:rPr>
          <w:rFonts w:ascii="Times New Roman" w:hAnsi="Times New Roman" w:cs="Times New Roman"/>
          <w:sz w:val="23"/>
          <w:szCs w:val="23"/>
        </w:rPr>
      </w:pPr>
      <w:r w:rsidRPr="009F3332">
        <w:rPr>
          <w:rFonts w:ascii="Times New Roman" w:hAnsi="Times New Roman" w:cs="Times New Roman"/>
          <w:sz w:val="23"/>
          <w:szCs w:val="23"/>
        </w:rPr>
        <w:t xml:space="preserve">The Scholarship Committee is charged with effectively distributing the </w:t>
      </w:r>
      <w:r w:rsidR="00811314" w:rsidRPr="009F3332">
        <w:rPr>
          <w:rFonts w:ascii="Times New Roman" w:hAnsi="Times New Roman" w:cs="Times New Roman"/>
          <w:sz w:val="23"/>
          <w:szCs w:val="23"/>
        </w:rPr>
        <w:t xml:space="preserve">funds available for </w:t>
      </w:r>
      <w:r w:rsidRPr="009F3332">
        <w:rPr>
          <w:rFonts w:ascii="Times New Roman" w:hAnsi="Times New Roman" w:cs="Times New Roman"/>
          <w:sz w:val="23"/>
          <w:szCs w:val="23"/>
        </w:rPr>
        <w:t>scholarship</w:t>
      </w:r>
      <w:r w:rsidR="00811314" w:rsidRPr="009F3332">
        <w:rPr>
          <w:rFonts w:ascii="Times New Roman" w:hAnsi="Times New Roman" w:cs="Times New Roman"/>
          <w:sz w:val="23"/>
          <w:szCs w:val="23"/>
        </w:rPr>
        <w:t>s each year.  The Scholarship committee will assure that each student awarded a scholarship meets the criteria for the scholarship</w:t>
      </w:r>
      <w:r w:rsidRPr="009F3332">
        <w:rPr>
          <w:rFonts w:ascii="Times New Roman" w:hAnsi="Times New Roman" w:cs="Times New Roman"/>
          <w:sz w:val="23"/>
          <w:szCs w:val="23"/>
        </w:rPr>
        <w:t xml:space="preserve"> </w:t>
      </w:r>
      <w:r w:rsidR="00811314" w:rsidRPr="009F3332">
        <w:rPr>
          <w:rFonts w:ascii="Times New Roman" w:hAnsi="Times New Roman" w:cs="Times New Roman"/>
          <w:sz w:val="23"/>
          <w:szCs w:val="23"/>
        </w:rPr>
        <w:t>and has completed</w:t>
      </w:r>
      <w:r w:rsidR="005445B3" w:rsidRPr="009F3332">
        <w:rPr>
          <w:rFonts w:ascii="Times New Roman" w:hAnsi="Times New Roman" w:cs="Times New Roman"/>
          <w:sz w:val="23"/>
          <w:szCs w:val="23"/>
        </w:rPr>
        <w:t xml:space="preserve"> a thank you letter to the scholarship donor before they receive the funds.</w:t>
      </w:r>
    </w:p>
    <w:p w:rsidR="009F3332" w:rsidRDefault="009F3332">
      <w:pPr>
        <w:rPr>
          <w:b/>
          <w:u w:val="single"/>
        </w:rPr>
      </w:pPr>
    </w:p>
    <w:p w:rsidR="009F3332" w:rsidRPr="009F3332" w:rsidRDefault="009F3332" w:rsidP="009F3332">
      <w:pPr>
        <w:spacing w:after="0" w:line="240" w:lineRule="auto"/>
        <w:rPr>
          <w:rFonts w:ascii="Times New Roman" w:hAnsi="Times New Roman" w:cs="Times New Roman"/>
          <w:b/>
          <w:smallCaps/>
          <w:sz w:val="23"/>
          <w:szCs w:val="23"/>
          <w:u w:val="single"/>
        </w:rPr>
      </w:pPr>
      <w:r w:rsidRPr="009F3332">
        <w:rPr>
          <w:rFonts w:ascii="Times New Roman" w:hAnsi="Times New Roman" w:cs="Times New Roman"/>
          <w:b/>
          <w:smallCaps/>
          <w:sz w:val="23"/>
          <w:szCs w:val="23"/>
          <w:u w:val="single"/>
        </w:rPr>
        <w:t>Composition of the Committee</w:t>
      </w:r>
    </w:p>
    <w:p w:rsidR="009F3332" w:rsidRPr="009F3332" w:rsidRDefault="009F3332" w:rsidP="009F3332">
      <w:pPr>
        <w:spacing w:after="0" w:line="240" w:lineRule="auto"/>
        <w:rPr>
          <w:rFonts w:ascii="Times New Roman" w:hAnsi="Times New Roman" w:cs="Times New Roman"/>
          <w:sz w:val="23"/>
          <w:szCs w:val="23"/>
        </w:rPr>
      </w:pPr>
      <w:r w:rsidRPr="009F3332">
        <w:rPr>
          <w:rFonts w:ascii="Times New Roman" w:hAnsi="Times New Roman" w:cs="Times New Roman"/>
          <w:sz w:val="23"/>
          <w:szCs w:val="23"/>
        </w:rPr>
        <w:t>The Committee shall be comprised of:</w:t>
      </w:r>
    </w:p>
    <w:p w:rsidR="009F3332" w:rsidRPr="009F3332" w:rsidRDefault="009F3332" w:rsidP="009F3332">
      <w:pPr>
        <w:spacing w:after="0" w:line="240" w:lineRule="auto"/>
        <w:rPr>
          <w:rFonts w:ascii="Times New Roman" w:hAnsi="Times New Roman" w:cs="Times New Roman"/>
          <w:sz w:val="23"/>
          <w:szCs w:val="23"/>
        </w:rPr>
      </w:pPr>
    </w:p>
    <w:p w:rsidR="009F3332" w:rsidRPr="009F3332" w:rsidRDefault="009F3332" w:rsidP="009F3332">
      <w:pPr>
        <w:pStyle w:val="TOAHeading"/>
        <w:numPr>
          <w:ilvl w:val="0"/>
          <w:numId w:val="1"/>
        </w:numPr>
        <w:tabs>
          <w:tab w:val="clear" w:pos="360"/>
          <w:tab w:val="clear" w:pos="9000"/>
          <w:tab w:val="clear" w:pos="9360"/>
          <w:tab w:val="left" w:pos="-720"/>
          <w:tab w:val="num" w:pos="720"/>
        </w:tabs>
        <w:ind w:left="720"/>
        <w:contextualSpacing/>
        <w:rPr>
          <w:rFonts w:ascii="Times New Roman" w:hAnsi="Times New Roman"/>
          <w:spacing w:val="-3"/>
          <w:sz w:val="23"/>
          <w:szCs w:val="23"/>
        </w:rPr>
      </w:pPr>
      <w:r w:rsidRPr="009F3332">
        <w:rPr>
          <w:rFonts w:ascii="Times New Roman" w:hAnsi="Times New Roman"/>
          <w:spacing w:val="-3"/>
          <w:sz w:val="23"/>
          <w:szCs w:val="23"/>
        </w:rPr>
        <w:t>The chair, appointed by the dean, will serve a term of two years and one additional year as past chair.</w:t>
      </w:r>
    </w:p>
    <w:p w:rsidR="009F3332" w:rsidRPr="009F3332" w:rsidRDefault="009F3332" w:rsidP="009F3332">
      <w:pPr>
        <w:pStyle w:val="TOAHeading"/>
        <w:numPr>
          <w:ilvl w:val="0"/>
          <w:numId w:val="1"/>
        </w:numPr>
        <w:tabs>
          <w:tab w:val="clear" w:pos="360"/>
          <w:tab w:val="clear" w:pos="9000"/>
          <w:tab w:val="clear" w:pos="9360"/>
          <w:tab w:val="left" w:pos="-720"/>
          <w:tab w:val="num" w:pos="720"/>
        </w:tabs>
        <w:ind w:left="720"/>
        <w:contextualSpacing/>
        <w:rPr>
          <w:rFonts w:ascii="Times New Roman" w:hAnsi="Times New Roman"/>
          <w:spacing w:val="-3"/>
          <w:sz w:val="23"/>
          <w:szCs w:val="23"/>
        </w:rPr>
      </w:pPr>
      <w:r w:rsidRPr="009F3332">
        <w:rPr>
          <w:rFonts w:ascii="Times New Roman" w:hAnsi="Times New Roman"/>
          <w:spacing w:val="-3"/>
          <w:sz w:val="23"/>
          <w:szCs w:val="23"/>
        </w:rPr>
        <w:t>The vice chair, appointed by the dean for a 2 year term, will advance to the position of chair for an additional 2 year term of service and 1 year as past chair.</w:t>
      </w:r>
    </w:p>
    <w:p w:rsidR="009F3332" w:rsidRDefault="009F3332" w:rsidP="009F3332">
      <w:pPr>
        <w:pStyle w:val="ListParagraph"/>
        <w:numPr>
          <w:ilvl w:val="0"/>
          <w:numId w:val="1"/>
        </w:numPr>
        <w:tabs>
          <w:tab w:val="clear" w:pos="360"/>
          <w:tab w:val="num" w:pos="720"/>
        </w:tabs>
        <w:spacing w:after="0" w:line="240" w:lineRule="auto"/>
        <w:ind w:left="720"/>
        <w:rPr>
          <w:rFonts w:ascii="Times New Roman" w:hAnsi="Times New Roman" w:cs="Times New Roman"/>
          <w:sz w:val="23"/>
          <w:szCs w:val="23"/>
        </w:rPr>
      </w:pPr>
      <w:r>
        <w:rPr>
          <w:rFonts w:ascii="Times New Roman" w:hAnsi="Times New Roman" w:cs="Times New Roman"/>
          <w:sz w:val="23"/>
          <w:szCs w:val="23"/>
        </w:rPr>
        <w:t>Ex Officio</w:t>
      </w:r>
    </w:p>
    <w:p w:rsidR="009F3332" w:rsidRPr="009F3332" w:rsidRDefault="009F3332" w:rsidP="009F3332">
      <w:pPr>
        <w:pStyle w:val="ListParagraph"/>
        <w:numPr>
          <w:ilvl w:val="0"/>
          <w:numId w:val="1"/>
        </w:numPr>
        <w:tabs>
          <w:tab w:val="clear" w:pos="360"/>
          <w:tab w:val="num" w:pos="1080"/>
        </w:tabs>
        <w:spacing w:after="0" w:line="240" w:lineRule="auto"/>
        <w:ind w:left="1080"/>
        <w:rPr>
          <w:rFonts w:ascii="Times New Roman" w:hAnsi="Times New Roman" w:cs="Times New Roman"/>
          <w:sz w:val="23"/>
          <w:szCs w:val="23"/>
        </w:rPr>
      </w:pPr>
      <w:r w:rsidRPr="009F3332">
        <w:rPr>
          <w:rFonts w:ascii="Times New Roman" w:hAnsi="Times New Roman" w:cs="Times New Roman"/>
          <w:sz w:val="23"/>
          <w:szCs w:val="23"/>
        </w:rPr>
        <w:t xml:space="preserve">Director Student Services </w:t>
      </w:r>
    </w:p>
    <w:p w:rsidR="009F3332" w:rsidRPr="009F3332" w:rsidRDefault="009F3332" w:rsidP="009F3332">
      <w:pPr>
        <w:pStyle w:val="ListParagraph"/>
        <w:numPr>
          <w:ilvl w:val="0"/>
          <w:numId w:val="1"/>
        </w:numPr>
        <w:tabs>
          <w:tab w:val="clear" w:pos="360"/>
          <w:tab w:val="num" w:pos="1080"/>
        </w:tabs>
        <w:spacing w:after="0" w:line="240" w:lineRule="auto"/>
        <w:ind w:left="1080"/>
        <w:rPr>
          <w:rFonts w:ascii="Times New Roman" w:hAnsi="Times New Roman" w:cs="Times New Roman"/>
          <w:sz w:val="23"/>
          <w:szCs w:val="23"/>
        </w:rPr>
      </w:pPr>
      <w:r w:rsidRPr="009F3332">
        <w:rPr>
          <w:rFonts w:ascii="Times New Roman" w:hAnsi="Times New Roman" w:cs="Times New Roman"/>
          <w:sz w:val="23"/>
          <w:szCs w:val="23"/>
        </w:rPr>
        <w:t xml:space="preserve">Assistant Dean for </w:t>
      </w:r>
      <w:r>
        <w:rPr>
          <w:rFonts w:ascii="Times New Roman" w:hAnsi="Times New Roman" w:cs="Times New Roman"/>
          <w:sz w:val="23"/>
          <w:szCs w:val="23"/>
        </w:rPr>
        <w:t>A</w:t>
      </w:r>
      <w:r w:rsidRPr="009F3332">
        <w:rPr>
          <w:rFonts w:ascii="Times New Roman" w:hAnsi="Times New Roman" w:cs="Times New Roman"/>
          <w:sz w:val="23"/>
          <w:szCs w:val="23"/>
        </w:rPr>
        <w:t>dministration</w:t>
      </w:r>
    </w:p>
    <w:p w:rsidR="009F3332" w:rsidRPr="009F3332" w:rsidRDefault="009F3332" w:rsidP="009F3332">
      <w:pPr>
        <w:pStyle w:val="ListParagraph"/>
        <w:numPr>
          <w:ilvl w:val="0"/>
          <w:numId w:val="1"/>
        </w:numPr>
        <w:tabs>
          <w:tab w:val="clear" w:pos="360"/>
          <w:tab w:val="num" w:pos="1080"/>
        </w:tabs>
        <w:spacing w:after="0" w:line="240" w:lineRule="auto"/>
        <w:ind w:left="1080"/>
        <w:rPr>
          <w:rFonts w:ascii="Times New Roman" w:hAnsi="Times New Roman" w:cs="Times New Roman"/>
          <w:sz w:val="23"/>
          <w:szCs w:val="23"/>
        </w:rPr>
      </w:pPr>
      <w:r w:rsidRPr="009F3332">
        <w:rPr>
          <w:rFonts w:ascii="Times New Roman" w:hAnsi="Times New Roman" w:cs="Times New Roman"/>
          <w:sz w:val="23"/>
          <w:szCs w:val="23"/>
        </w:rPr>
        <w:t>Assistant Dean for Students</w:t>
      </w:r>
    </w:p>
    <w:p w:rsidR="009F3332" w:rsidRPr="009F3332" w:rsidRDefault="009F3332" w:rsidP="009F3332">
      <w:pPr>
        <w:pStyle w:val="ListParagraph"/>
        <w:numPr>
          <w:ilvl w:val="0"/>
          <w:numId w:val="1"/>
        </w:numPr>
        <w:tabs>
          <w:tab w:val="clear" w:pos="360"/>
          <w:tab w:val="num" w:pos="1080"/>
        </w:tabs>
        <w:spacing w:after="0" w:line="240" w:lineRule="auto"/>
        <w:ind w:left="1080"/>
        <w:rPr>
          <w:rFonts w:ascii="Times New Roman" w:hAnsi="Times New Roman" w:cs="Times New Roman"/>
          <w:sz w:val="23"/>
          <w:szCs w:val="23"/>
        </w:rPr>
      </w:pPr>
      <w:r w:rsidRPr="009F3332">
        <w:rPr>
          <w:rFonts w:ascii="Times New Roman" w:hAnsi="Times New Roman" w:cs="Times New Roman"/>
          <w:sz w:val="23"/>
          <w:szCs w:val="23"/>
        </w:rPr>
        <w:t>Alumni Development Coordinator</w:t>
      </w:r>
    </w:p>
    <w:p w:rsidR="009F3332" w:rsidRDefault="009F3332" w:rsidP="009F3332">
      <w:pPr>
        <w:pStyle w:val="BodyText"/>
        <w:tabs>
          <w:tab w:val="left" w:pos="792"/>
        </w:tabs>
        <w:jc w:val="left"/>
        <w:rPr>
          <w:sz w:val="23"/>
          <w:szCs w:val="23"/>
        </w:rPr>
      </w:pPr>
    </w:p>
    <w:p w:rsidR="009F3332" w:rsidRPr="006E62B1" w:rsidRDefault="009F3332" w:rsidP="009F3332">
      <w:pPr>
        <w:pStyle w:val="BodyText"/>
        <w:tabs>
          <w:tab w:val="left" w:pos="810"/>
        </w:tabs>
        <w:jc w:val="center"/>
        <w:rPr>
          <w:rFonts w:ascii="Century Gothic" w:hAnsi="Century Gothic"/>
          <w:smallCaps/>
          <w:sz w:val="24"/>
          <w:szCs w:val="24"/>
        </w:rPr>
      </w:pPr>
      <w:r>
        <w:rPr>
          <w:rFonts w:ascii="Century Gothic" w:hAnsi="Century Gothic"/>
          <w:smallCaps/>
          <w:sz w:val="24"/>
          <w:szCs w:val="24"/>
        </w:rPr>
        <w:t>Scholarship Co</w:t>
      </w:r>
      <w:r w:rsidRPr="006E62B1">
        <w:rPr>
          <w:rFonts w:ascii="Century Gothic" w:hAnsi="Century Gothic"/>
          <w:smallCaps/>
          <w:sz w:val="24"/>
          <w:szCs w:val="24"/>
        </w:rPr>
        <w:t>mmittee Guidance Document</w:t>
      </w:r>
    </w:p>
    <w:p w:rsidR="009F3332" w:rsidRDefault="009F3332" w:rsidP="009F3332">
      <w:pPr>
        <w:jc w:val="both"/>
        <w:rPr>
          <w:rFonts w:ascii="Arial" w:hAnsi="Arial" w:cs="Arial"/>
          <w:b/>
          <w:smallCaps/>
          <w:u w:val="single"/>
        </w:rPr>
      </w:pPr>
    </w:p>
    <w:p w:rsidR="009F3332" w:rsidRPr="00EB46C3" w:rsidRDefault="009F3332" w:rsidP="009F3332">
      <w:pPr>
        <w:spacing w:after="0" w:line="240" w:lineRule="auto"/>
        <w:jc w:val="both"/>
        <w:rPr>
          <w:b/>
          <w:smallCaps/>
          <w:sz w:val="23"/>
          <w:szCs w:val="23"/>
          <w:u w:val="single"/>
        </w:rPr>
      </w:pPr>
      <w:r w:rsidRPr="00EB46C3">
        <w:rPr>
          <w:b/>
          <w:smallCaps/>
          <w:sz w:val="23"/>
          <w:szCs w:val="23"/>
          <w:u w:val="single"/>
        </w:rPr>
        <w:t xml:space="preserve">Governance </w:t>
      </w:r>
    </w:p>
    <w:p w:rsidR="009F3332" w:rsidRPr="00EB46C3" w:rsidRDefault="009F3332" w:rsidP="009F3332">
      <w:pPr>
        <w:pStyle w:val="BodyText"/>
        <w:tabs>
          <w:tab w:val="left" w:pos="810"/>
        </w:tabs>
        <w:jc w:val="left"/>
        <w:rPr>
          <w:sz w:val="23"/>
          <w:szCs w:val="23"/>
        </w:rPr>
      </w:pPr>
      <w:r w:rsidRPr="00EB46C3">
        <w:rPr>
          <w:sz w:val="23"/>
          <w:szCs w:val="23"/>
        </w:rPr>
        <w:t xml:space="preserve">Governance of the committee’s affairs is generally accomplished by consensus.  </w:t>
      </w:r>
    </w:p>
    <w:p w:rsidR="009F3332" w:rsidRPr="00EB46C3" w:rsidRDefault="009F3332" w:rsidP="009F3332">
      <w:pPr>
        <w:spacing w:after="0" w:line="240" w:lineRule="auto"/>
        <w:jc w:val="both"/>
        <w:rPr>
          <w:b/>
          <w:smallCaps/>
          <w:sz w:val="23"/>
          <w:szCs w:val="23"/>
          <w:u w:val="single"/>
        </w:rPr>
      </w:pPr>
    </w:p>
    <w:p w:rsidR="009F3332" w:rsidRPr="00EB46C3" w:rsidRDefault="009F3332" w:rsidP="009F3332">
      <w:pPr>
        <w:spacing w:after="0" w:line="240" w:lineRule="auto"/>
        <w:jc w:val="both"/>
        <w:rPr>
          <w:b/>
          <w:smallCaps/>
          <w:sz w:val="23"/>
          <w:szCs w:val="23"/>
          <w:u w:val="single"/>
        </w:rPr>
      </w:pPr>
      <w:r w:rsidRPr="00EB46C3">
        <w:rPr>
          <w:b/>
          <w:smallCaps/>
          <w:sz w:val="23"/>
          <w:szCs w:val="23"/>
          <w:u w:val="single"/>
        </w:rPr>
        <w:t xml:space="preserve">Selection Process for Faculty Membership </w:t>
      </w:r>
    </w:p>
    <w:p w:rsidR="009F3332" w:rsidRPr="00EB46C3" w:rsidRDefault="009F3332" w:rsidP="009F3332">
      <w:pPr>
        <w:shd w:val="clear" w:color="auto" w:fill="FFFFFF"/>
        <w:spacing w:after="0" w:line="240" w:lineRule="auto"/>
        <w:ind w:right="300"/>
        <w:rPr>
          <w:sz w:val="23"/>
          <w:szCs w:val="23"/>
        </w:rPr>
      </w:pPr>
      <w:r w:rsidRPr="00EB46C3">
        <w:rPr>
          <w:sz w:val="23"/>
          <w:szCs w:val="23"/>
        </w:rPr>
        <w:t xml:space="preserve">Appointments of individual </w:t>
      </w:r>
      <w:r>
        <w:rPr>
          <w:sz w:val="23"/>
          <w:szCs w:val="23"/>
        </w:rPr>
        <w:t xml:space="preserve">faculty </w:t>
      </w:r>
      <w:r w:rsidRPr="00EB46C3">
        <w:rPr>
          <w:sz w:val="23"/>
          <w:szCs w:val="23"/>
        </w:rPr>
        <w:t xml:space="preserve">members by the Dean shall be limited to a period not to exceed two years, with re-appointment to the committee for one additional term. Members shall be appointed initially to allow a replacement of no more than 50 percent of its membership in an academic year. </w:t>
      </w:r>
    </w:p>
    <w:p w:rsidR="009F3332" w:rsidRPr="00EB46C3" w:rsidRDefault="009F3332" w:rsidP="009F3332">
      <w:pPr>
        <w:shd w:val="clear" w:color="auto" w:fill="FFFFFF"/>
        <w:spacing w:after="0" w:line="240" w:lineRule="auto"/>
        <w:ind w:right="300"/>
        <w:rPr>
          <w:sz w:val="23"/>
          <w:szCs w:val="23"/>
        </w:rPr>
      </w:pPr>
    </w:p>
    <w:p w:rsidR="009F3332" w:rsidRPr="00EB46C3" w:rsidRDefault="009F3332" w:rsidP="009F3332">
      <w:pPr>
        <w:shd w:val="clear" w:color="auto" w:fill="FFFFFF"/>
        <w:spacing w:after="0" w:line="240" w:lineRule="auto"/>
        <w:ind w:right="300"/>
        <w:rPr>
          <w:sz w:val="23"/>
          <w:szCs w:val="23"/>
        </w:rPr>
      </w:pPr>
      <w:r w:rsidRPr="00EB46C3">
        <w:rPr>
          <w:sz w:val="23"/>
          <w:szCs w:val="23"/>
        </w:rPr>
        <w:t xml:space="preserve">The appointment of members by the dean shall be made no later than June 15, and members shall be seated on the committee by no later than July 1.  An appointment year for standing committee membership shall generally be from July 1 through June 30 unless otherwise stated in committee guidance documents.  </w:t>
      </w:r>
    </w:p>
    <w:p w:rsidR="009F3332" w:rsidRPr="00EB46C3" w:rsidRDefault="009F3332" w:rsidP="009F3332">
      <w:pPr>
        <w:spacing w:after="0" w:line="240" w:lineRule="auto"/>
        <w:jc w:val="both"/>
        <w:rPr>
          <w:b/>
          <w:smallCaps/>
          <w:sz w:val="23"/>
          <w:szCs w:val="23"/>
          <w:u w:val="single"/>
        </w:rPr>
      </w:pPr>
    </w:p>
    <w:p w:rsidR="009F3332" w:rsidRPr="00EB46C3" w:rsidRDefault="009F3332" w:rsidP="009F3332">
      <w:pPr>
        <w:spacing w:after="0" w:line="240" w:lineRule="auto"/>
        <w:jc w:val="both"/>
        <w:rPr>
          <w:b/>
          <w:smallCaps/>
          <w:sz w:val="23"/>
          <w:szCs w:val="23"/>
          <w:u w:val="single"/>
        </w:rPr>
      </w:pPr>
      <w:r w:rsidRPr="00EB46C3">
        <w:rPr>
          <w:b/>
          <w:smallCaps/>
          <w:sz w:val="23"/>
          <w:szCs w:val="23"/>
          <w:u w:val="single"/>
        </w:rPr>
        <w:t>Meetings and Communication</w:t>
      </w:r>
    </w:p>
    <w:p w:rsidR="005445B3" w:rsidRDefault="009F3332" w:rsidP="009F3332">
      <w:pPr>
        <w:spacing w:after="0" w:line="240" w:lineRule="auto"/>
      </w:pPr>
      <w:r>
        <w:t xml:space="preserve">The Scholarship Committee meets in October each year at a day and time set by the chair to review scholarship applications so that the committee can meet the scholarship award notification dates in the second week in November.  </w:t>
      </w:r>
      <w:r w:rsidRPr="00EB46C3">
        <w:rPr>
          <w:sz w:val="23"/>
          <w:szCs w:val="23"/>
        </w:rPr>
        <w:t>The faculty is informed of the committee’s work through a meeting summary provided on the School’s electronic network</w:t>
      </w:r>
      <w:r>
        <w:rPr>
          <w:sz w:val="23"/>
          <w:szCs w:val="23"/>
        </w:rPr>
        <w:t xml:space="preserve"> </w:t>
      </w:r>
      <w:r w:rsidR="004362DC">
        <w:rPr>
          <w:sz w:val="23"/>
          <w:szCs w:val="23"/>
        </w:rPr>
        <w:t>reported in the annual report and in PAGE.</w:t>
      </w:r>
    </w:p>
    <w:sectPr w:rsidR="005445B3" w:rsidSect="003B4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6267"/>
    <w:multiLevelType w:val="singleLevel"/>
    <w:tmpl w:val="4010055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CB2"/>
    <w:rsid w:val="002E44E3"/>
    <w:rsid w:val="003B4EDC"/>
    <w:rsid w:val="004362DC"/>
    <w:rsid w:val="005445B3"/>
    <w:rsid w:val="00811314"/>
    <w:rsid w:val="009A4A3F"/>
    <w:rsid w:val="009B0CB2"/>
    <w:rsid w:val="009F3332"/>
    <w:rsid w:val="00AD1982"/>
    <w:rsid w:val="00F24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362DC"/>
    <w:pPr>
      <w:tabs>
        <w:tab w:val="left" w:pos="9000"/>
        <w:tab w:val="right" w:pos="9360"/>
      </w:tabs>
      <w:suppressAutoHyphens/>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4362DC"/>
    <w:pPr>
      <w:ind w:left="720"/>
      <w:contextualSpacing/>
    </w:pPr>
  </w:style>
  <w:style w:type="paragraph" w:styleId="BodyText">
    <w:name w:val="Body Text"/>
    <w:basedOn w:val="Normal"/>
    <w:link w:val="BodyTextChar"/>
    <w:rsid w:val="009F3332"/>
    <w:pPr>
      <w:widowControl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F333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Pharmacy</dc:creator>
  <cp:keywords/>
  <dc:description/>
  <cp:lastModifiedBy>HOWRIE</cp:lastModifiedBy>
  <cp:revision>2</cp:revision>
  <dcterms:created xsi:type="dcterms:W3CDTF">2009-10-28T19:19:00Z</dcterms:created>
  <dcterms:modified xsi:type="dcterms:W3CDTF">2009-10-28T19:19:00Z</dcterms:modified>
</cp:coreProperties>
</file>